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6AB9B" w14:textId="77777777" w:rsidR="00111DD4" w:rsidRDefault="00111DD4" w:rsidP="00111DD4">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111DD4" w14:paraId="3D8A5A23" w14:textId="77777777" w:rsidTr="008B53D0">
        <w:tc>
          <w:tcPr>
            <w:tcW w:w="12293" w:type="dxa"/>
            <w:tcBorders>
              <w:top w:val="single" w:sz="4" w:space="0" w:color="auto"/>
              <w:left w:val="single" w:sz="4" w:space="0" w:color="auto"/>
              <w:bottom w:val="single" w:sz="4" w:space="0" w:color="auto"/>
              <w:right w:val="single" w:sz="4" w:space="0" w:color="auto"/>
            </w:tcBorders>
          </w:tcPr>
          <w:p w14:paraId="5B022582" w14:textId="77777777" w:rsidR="00111DD4" w:rsidRDefault="00111DD4" w:rsidP="008B53D0">
            <w:pPr>
              <w:spacing w:line="240" w:lineRule="auto"/>
              <w:rPr>
                <w:rFonts w:cs="Times New Roman"/>
                <w:szCs w:val="24"/>
              </w:rPr>
            </w:pPr>
            <w:bookmarkStart w:id="0" w:name="_Hlk66486086"/>
            <w:r>
              <w:rPr>
                <w:rFonts w:eastAsia="Times New Roman" w:cs="Times New Roman"/>
                <w:b/>
                <w:bCs/>
                <w:szCs w:val="24"/>
                <w:u w:val="single"/>
                <w:lang w:eastAsia="en-GB"/>
              </w:rPr>
              <w:t>European Convention on Human Rights</w:t>
            </w:r>
          </w:p>
          <w:p w14:paraId="7C65E203" w14:textId="77777777" w:rsidR="00111DD4" w:rsidRDefault="00111DD4" w:rsidP="008B53D0">
            <w:pPr>
              <w:shd w:val="clear" w:color="auto" w:fill="FFFFFF"/>
              <w:spacing w:line="240" w:lineRule="auto"/>
              <w:rPr>
                <w:rFonts w:eastAsia="Times New Roman" w:cs="Times New Roman"/>
                <w:szCs w:val="24"/>
                <w:lang w:eastAsia="en-GB"/>
              </w:rPr>
            </w:pPr>
            <w:r>
              <w:rPr>
                <w:rFonts w:eastAsia="Times New Roman" w:cs="Times New Roman"/>
                <w:b/>
                <w:bCs/>
                <w:szCs w:val="24"/>
                <w:u w:val="single"/>
                <w:lang w:eastAsia="en-GB"/>
              </w:rPr>
              <w:t>ECHR</w:t>
            </w:r>
            <w:r>
              <w:rPr>
                <w:rFonts w:eastAsia="Times New Roman" w:cs="Times New Roman"/>
                <w:b/>
                <w:bCs/>
                <w:szCs w:val="24"/>
                <w:lang w:eastAsia="en-GB"/>
              </w:rPr>
              <w:t xml:space="preserve"> - </w:t>
            </w:r>
            <w:r>
              <w:rPr>
                <w:rFonts w:eastAsia="Times New Roman" w:cs="Times New Roman"/>
                <w:szCs w:val="24"/>
                <w:lang w:eastAsia="en-GB"/>
              </w:rPr>
              <w:t>Procedural and institutional protocols</w:t>
            </w:r>
            <w:bookmarkEnd w:id="0"/>
          </w:p>
          <w:p w14:paraId="6B9C7B9B" w14:textId="77777777" w:rsidR="00111DD4" w:rsidRDefault="00111DD4" w:rsidP="008B53D0">
            <w:pPr>
              <w:shd w:val="clear" w:color="auto" w:fill="FFFFFF"/>
              <w:spacing w:line="240" w:lineRule="auto"/>
              <w:rPr>
                <w:rFonts w:eastAsia="Times New Roman" w:cs="Times New Roman"/>
                <w:szCs w:val="24"/>
                <w:lang w:eastAsia="en-GB"/>
              </w:rPr>
            </w:pPr>
          </w:p>
          <w:p w14:paraId="6D3EE683" w14:textId="77777777" w:rsidR="00111DD4" w:rsidRDefault="00111DD4" w:rsidP="008B53D0">
            <w:pPr>
              <w:spacing w:line="240" w:lineRule="auto"/>
              <w:rPr>
                <w:rFonts w:cs="Times New Roman"/>
                <w:szCs w:val="24"/>
              </w:rPr>
            </w:pPr>
            <w:r>
              <w:rPr>
                <w:rFonts w:eastAsia="Times New Roman" w:cs="Times New Roman"/>
                <w:b/>
                <w:bCs/>
                <w:szCs w:val="24"/>
                <w:u w:val="single"/>
                <w:lang w:eastAsia="en-GB"/>
              </w:rPr>
              <w:t>European Convention on Human Rights</w:t>
            </w:r>
          </w:p>
          <w:p w14:paraId="211E1D83" w14:textId="77777777" w:rsidR="00111DD4" w:rsidRDefault="00111DD4" w:rsidP="008B53D0">
            <w:pPr>
              <w:shd w:val="clear" w:color="auto" w:fill="FFFFFF"/>
              <w:spacing w:line="240" w:lineRule="auto"/>
              <w:rPr>
                <w:rFonts w:eastAsia="Times New Roman" w:cs="Times New Roman"/>
                <w:b/>
                <w:bCs/>
                <w:szCs w:val="24"/>
                <w:lang w:eastAsia="en-GB"/>
              </w:rPr>
            </w:pPr>
            <w:r>
              <w:rPr>
                <w:rFonts w:eastAsia="Times New Roman" w:cs="Times New Roman"/>
                <w:b/>
                <w:bCs/>
                <w:szCs w:val="24"/>
                <w:u w:val="single"/>
                <w:lang w:eastAsia="en-GB"/>
              </w:rPr>
              <w:t>ECHR</w:t>
            </w:r>
            <w:r>
              <w:rPr>
                <w:rFonts w:eastAsia="Times New Roman" w:cs="Times New Roman"/>
                <w:b/>
                <w:bCs/>
                <w:szCs w:val="24"/>
                <w:lang w:eastAsia="en-GB"/>
              </w:rPr>
              <w:t xml:space="preserve"> - </w:t>
            </w:r>
            <w:r>
              <w:rPr>
                <w:rFonts w:eastAsia="Times New Roman" w:cs="Times New Roman"/>
                <w:szCs w:val="24"/>
                <w:lang w:eastAsia="en-GB"/>
              </w:rPr>
              <w:t>Protocol 11:</w:t>
            </w:r>
          </w:p>
          <w:p w14:paraId="1B5EF00D" w14:textId="77777777" w:rsidR="00111DD4" w:rsidRDefault="00111DD4" w:rsidP="008B53D0">
            <w:pPr>
              <w:shd w:val="clear" w:color="auto" w:fill="FFFFFF"/>
              <w:spacing w:line="240" w:lineRule="auto"/>
              <w:rPr>
                <w:rFonts w:eastAsia="Times New Roman" w:cs="Times New Roman"/>
                <w:color w:val="202122"/>
                <w:szCs w:val="24"/>
                <w:lang w:eastAsia="en-GB"/>
              </w:rPr>
            </w:pPr>
          </w:p>
          <w:p w14:paraId="242BE4D0" w14:textId="77777777" w:rsidR="00111DD4" w:rsidRDefault="00111DD4" w:rsidP="008B53D0">
            <w:pPr>
              <w:spacing w:line="240" w:lineRule="auto"/>
              <w:rPr>
                <w:b/>
                <w:bCs/>
                <w:u w:val="single"/>
              </w:rPr>
            </w:pPr>
            <w:r>
              <w:rPr>
                <w:b/>
                <w:bCs/>
                <w:u w:val="single"/>
              </w:rPr>
              <w:t>Protocol 11</w:t>
            </w:r>
          </w:p>
          <w:p w14:paraId="42F5BAFB" w14:textId="77777777" w:rsidR="00111DD4" w:rsidRDefault="00111DD4" w:rsidP="008B53D0">
            <w:pPr>
              <w:shd w:val="clear" w:color="auto" w:fill="FFFFFF"/>
              <w:spacing w:line="240" w:lineRule="auto"/>
              <w:rPr>
                <w:rFonts w:eastAsia="Times New Roman" w:cs="Times New Roman"/>
                <w:color w:val="202122"/>
                <w:szCs w:val="24"/>
                <w:lang w:eastAsia="en-GB"/>
              </w:rPr>
            </w:pPr>
            <w:r>
              <w:rPr>
                <w:rFonts w:eastAsia="Times New Roman" w:cs="Times New Roman"/>
                <w:color w:val="202122"/>
                <w:szCs w:val="24"/>
                <w:lang w:eastAsia="en-GB"/>
              </w:rPr>
              <w:t>Protocols 2, 3, 5, 8, 9 and 10 have now been superseded by Protocol 11 which entered into force on 1 November 1998. It established a fundamental change in the machinery of the convention. It abolished the Commission, allowing individuals to apply directly to the Court, which was given compulsory jurisdiction and altered the latter's structure. Previously states could ratify the Convention without accepting the jurisdiction of the Court of Human Rights. The protocol also abolished the judicial functions of the Committee of Ministers.</w:t>
            </w:r>
          </w:p>
          <w:p w14:paraId="68130A98" w14:textId="77777777" w:rsidR="00111DD4" w:rsidRDefault="00111DD4" w:rsidP="008B53D0">
            <w:pPr>
              <w:spacing w:line="240" w:lineRule="auto"/>
              <w:rPr>
                <w:rFonts w:cs="Times New Roman"/>
                <w:szCs w:val="24"/>
              </w:rPr>
            </w:pPr>
          </w:p>
        </w:tc>
      </w:tr>
    </w:tbl>
    <w:p w14:paraId="7E64AA49"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53"/>
    <w:rsid w:val="00111DD4"/>
    <w:rsid w:val="001E1A1C"/>
    <w:rsid w:val="004633B0"/>
    <w:rsid w:val="00B57ECD"/>
    <w:rsid w:val="00C04C38"/>
    <w:rsid w:val="00CA4B05"/>
    <w:rsid w:val="00DF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0D81"/>
  <w15:chartTrackingRefBased/>
  <w15:docId w15:val="{1FFA607E-2ABD-4926-BE26-FD86C11A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D4"/>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D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2021-03-13T00:50:00Z</dcterms:created>
  <dcterms:modified xsi:type="dcterms:W3CDTF">2021-03-13T00:50:00Z</dcterms:modified>
</cp:coreProperties>
</file>