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4A9E" w14:textId="77777777" w:rsidR="009F60FD" w:rsidRDefault="009F60FD" w:rsidP="009F60FD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F60FD" w14:paraId="4018F9B2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EDD" w14:textId="77777777" w:rsidR="009F60FD" w:rsidRDefault="009F60FD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3346485B" w14:textId="77777777" w:rsidR="009F60FD" w:rsidRDefault="009F60FD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12: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Marriage</w:t>
            </w:r>
          </w:p>
          <w:p w14:paraId="2A529D42" w14:textId="77777777" w:rsidR="009F60FD" w:rsidRDefault="009F60FD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3E67AA6B" w14:textId="77777777" w:rsidR="009F60FD" w:rsidRDefault="009F60FD" w:rsidP="008B53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Article 12 – marriage</w:t>
            </w:r>
          </w:p>
          <w:p w14:paraId="2A01A29D" w14:textId="77777777" w:rsidR="009F60FD" w:rsidRDefault="009F60FD" w:rsidP="008B53D0">
            <w:pPr>
              <w:spacing w:line="240" w:lineRule="auto"/>
            </w:pPr>
            <w:r>
              <w:rPr>
                <w:b/>
                <w:bCs/>
              </w:rPr>
              <w:t>Main article:</w:t>
            </w:r>
            <w:r>
              <w:t> Article 12 of the European Convention on Human Rights</w:t>
            </w:r>
          </w:p>
          <w:p w14:paraId="1BC82F6A" w14:textId="77777777" w:rsidR="009F60FD" w:rsidRDefault="009F60FD" w:rsidP="008B53D0">
            <w:pPr>
              <w:spacing w:line="240" w:lineRule="auto"/>
            </w:pPr>
            <w:r>
              <w:t>Article 12 provides a right for women and men of marriageable age to marry and establish a family.</w:t>
            </w:r>
          </w:p>
          <w:p w14:paraId="69CFA8D5" w14:textId="77777777" w:rsidR="009F60FD" w:rsidRDefault="009F60FD" w:rsidP="008B53D0">
            <w:pPr>
              <w:spacing w:line="240" w:lineRule="auto"/>
            </w:pPr>
            <w:r>
              <w:t>Despite a number of invitations, the Court has so far refused to apply the protections of this article to same-sex marriage. The Court has defended this on the grounds that the article was intended to apply only to different-sex marriage, and that a wide margin of appreciation must be granted to parties in this area.</w:t>
            </w:r>
          </w:p>
          <w:p w14:paraId="5E8CDD7A" w14:textId="77777777" w:rsidR="009F60FD" w:rsidRDefault="009F60FD" w:rsidP="008B53D0">
            <w:pPr>
              <w:spacing w:line="240" w:lineRule="auto"/>
            </w:pPr>
            <w:r>
              <w:t>In </w:t>
            </w:r>
            <w:hyperlink r:id="rId4" w:tooltip="Goodwin v United Kingdom" w:history="1">
              <w:r>
                <w:rPr>
                  <w:rStyle w:val="Hyperlink"/>
                  <w:b/>
                  <w:bCs/>
                  <w:i/>
                  <w:iCs/>
                </w:rPr>
                <w:t>Goodwin v United Kingdom</w:t>
              </w:r>
            </w:hyperlink>
            <w:r>
              <w:t> the Court ruled that a law which still classified post-operative transsexual persons under their pre-operative sex violated article 12 as it meant that transsexual persons were unable to marry individuals of their post-operative opposite sex. This reversed an earlier ruling in </w:t>
            </w:r>
            <w:hyperlink r:id="rId5" w:tooltip="Rees v United Kingdom (page does not exist)" w:history="1">
              <w:r>
                <w:rPr>
                  <w:rStyle w:val="Hyperlink"/>
                  <w:b/>
                  <w:bCs/>
                  <w:i/>
                  <w:iCs/>
                </w:rPr>
                <w:t>Rees v United Kingdom</w:t>
              </w:r>
            </w:hyperlink>
            <w:r>
              <w:rPr>
                <w:b/>
                <w:bCs/>
                <w:i/>
                <w:iCs/>
              </w:rPr>
              <w:t>.</w:t>
            </w:r>
            <w:r>
              <w:t xml:space="preserve"> This did not, however, alter the Court's understanding that Article 12 protects only different-sex couples.</w:t>
            </w:r>
          </w:p>
          <w:p w14:paraId="5D1972F3" w14:textId="77777777" w:rsidR="009F60FD" w:rsidRDefault="009F60FD" w:rsidP="008B53D0">
            <w:pPr>
              <w:spacing w:line="240" w:lineRule="auto"/>
            </w:pPr>
            <w:r>
              <w:t>The European Court of Human Rights ruled in </w:t>
            </w:r>
            <w:hyperlink r:id="rId6" w:tooltip="Schalk and Kopf v Austria" w:history="1">
              <w:r>
                <w:rPr>
                  <w:rStyle w:val="Hyperlink"/>
                  <w:b/>
                  <w:bCs/>
                  <w:i/>
                  <w:iCs/>
                </w:rPr>
                <w:t>Schalk and Kopf v Austria</w:t>
              </w:r>
            </w:hyperlink>
            <w:r>
              <w:t> that countries are not required to provide marriage licenses for same-sex couples; however, if a country allows same-sex couple marriage it must be done under the same conditions that opposite-sex couples marriage face, in order to prevent a breach of article 14 – the prohibition of discrimination. Additionally, the court ruled in the 2015 case of </w:t>
            </w:r>
            <w:proofErr w:type="spellStart"/>
            <w:r>
              <w:rPr>
                <w:b/>
                <w:bCs/>
                <w:i/>
                <w:iCs/>
              </w:rPr>
              <w:fldChar w:fldCharType="begin"/>
            </w:r>
            <w:r>
              <w:rPr>
                <w:b/>
                <w:bCs/>
                <w:i/>
                <w:iCs/>
              </w:rPr>
              <w:instrText xml:space="preserve"> HYPERLINK "https://en.wikipedia.org/wiki/Oliari_and_Others_v_Italy" \o "Oliari and Others v Italy" </w:instrText>
            </w:r>
            <w:r>
              <w:rPr>
                <w:b/>
                <w:bCs/>
                <w:i/>
                <w:iCs/>
              </w:rPr>
              <w:fldChar w:fldCharType="separate"/>
            </w:r>
            <w:r>
              <w:rPr>
                <w:rStyle w:val="Hyperlink"/>
                <w:b/>
                <w:bCs/>
                <w:i/>
                <w:iCs/>
              </w:rPr>
              <w:t>Oliari</w:t>
            </w:r>
            <w:proofErr w:type="spellEnd"/>
            <w:r>
              <w:rPr>
                <w:rStyle w:val="Hyperlink"/>
                <w:b/>
                <w:bCs/>
                <w:i/>
                <w:iCs/>
              </w:rPr>
              <w:t xml:space="preserve"> and Others v Italy</w:t>
            </w:r>
            <w:r>
              <w:rPr>
                <w:b/>
                <w:bCs/>
                <w:i/>
                <w:iCs/>
              </w:rPr>
              <w:fldChar w:fldCharType="end"/>
            </w:r>
            <w:r>
              <w:t> that states have a positive obligation to ensure there is a specific legal framework for the recognition and protection of same-sex couples.</w:t>
            </w:r>
          </w:p>
          <w:p w14:paraId="345BC81E" w14:textId="77777777" w:rsidR="009F60FD" w:rsidRDefault="009F60FD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6176B253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B"/>
    <w:rsid w:val="001E1A1C"/>
    <w:rsid w:val="004633B0"/>
    <w:rsid w:val="004B57FB"/>
    <w:rsid w:val="009F60FD"/>
    <w:rsid w:val="00B57ECD"/>
    <w:rsid w:val="00C04C38"/>
    <w:rsid w:val="00C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F00B"/>
  <w15:chartTrackingRefBased/>
  <w15:docId w15:val="{602D50DD-2D57-425F-B454-F1E0EC90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FD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0FD"/>
    <w:rPr>
      <w:color w:val="0000FF"/>
      <w:u w:val="single"/>
    </w:rPr>
  </w:style>
  <w:style w:type="table" w:styleId="TableGrid">
    <w:name w:val="Table Grid"/>
    <w:basedOn w:val="TableNormal"/>
    <w:uiPriority w:val="39"/>
    <w:rsid w:val="009F6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chalk_and_Kopf_v_Austria" TargetMode="External"/><Relationship Id="rId5" Type="http://schemas.openxmlformats.org/officeDocument/2006/relationships/hyperlink" Target="https://en.wikipedia.org/w/index.php?title=Rees_v_United_Kingdom&amp;action=edit&amp;redlink=1" TargetMode="External"/><Relationship Id="rId4" Type="http://schemas.openxmlformats.org/officeDocument/2006/relationships/hyperlink" Target="https://en.wikipedia.org/wiki/Goodwin_v_United_King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2021-03-13T00:41:00Z</dcterms:created>
  <dcterms:modified xsi:type="dcterms:W3CDTF">2021-03-13T00:42:00Z</dcterms:modified>
</cp:coreProperties>
</file>