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764F9" w14:textId="77777777" w:rsidR="007E34FC" w:rsidRDefault="007E34FC" w:rsidP="007E34FC">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7E34FC" w14:paraId="493A7A35" w14:textId="77777777" w:rsidTr="008B53D0">
        <w:tc>
          <w:tcPr>
            <w:tcW w:w="12293" w:type="dxa"/>
            <w:tcBorders>
              <w:top w:val="single" w:sz="4" w:space="0" w:color="auto"/>
              <w:left w:val="single" w:sz="4" w:space="0" w:color="auto"/>
              <w:bottom w:val="single" w:sz="4" w:space="0" w:color="auto"/>
              <w:right w:val="single" w:sz="4" w:space="0" w:color="auto"/>
            </w:tcBorders>
          </w:tcPr>
          <w:p w14:paraId="61397B72" w14:textId="77777777" w:rsidR="007E34FC" w:rsidRDefault="007E34FC" w:rsidP="008B53D0">
            <w:pPr>
              <w:spacing w:line="240" w:lineRule="auto"/>
              <w:rPr>
                <w:rFonts w:cs="Times New Roman"/>
                <w:szCs w:val="24"/>
              </w:rPr>
            </w:pPr>
            <w:r>
              <w:rPr>
                <w:rFonts w:eastAsia="Times New Roman" w:cs="Times New Roman"/>
                <w:b/>
                <w:bCs/>
                <w:color w:val="000000"/>
                <w:szCs w:val="24"/>
                <w:u w:val="single"/>
                <w:lang w:eastAsia="en-GB"/>
              </w:rPr>
              <w:t>European Convention on Human Rights</w:t>
            </w:r>
          </w:p>
          <w:p w14:paraId="7541C031" w14:textId="77777777" w:rsidR="007E34FC" w:rsidRDefault="007E34FC" w:rsidP="008B53D0">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ECHR</w:t>
            </w:r>
            <w:r>
              <w:rPr>
                <w:rFonts w:eastAsia="Times New Roman" w:cs="Times New Roman"/>
                <w:b/>
                <w:bCs/>
                <w:color w:val="000000"/>
                <w:szCs w:val="24"/>
                <w:lang w:eastAsia="en-GB"/>
              </w:rPr>
              <w:t xml:space="preserve"> - Article 18:</w:t>
            </w:r>
            <w:r>
              <w:rPr>
                <w:rFonts w:eastAsia="Times New Roman" w:cs="Times New Roman"/>
                <w:color w:val="000000"/>
                <w:szCs w:val="24"/>
                <w:lang w:eastAsia="en-GB"/>
              </w:rPr>
              <w:t xml:space="preserve"> Permitted restrictions</w:t>
            </w:r>
          </w:p>
          <w:p w14:paraId="76771AB3" w14:textId="77777777" w:rsidR="007E34FC" w:rsidRDefault="007E34FC" w:rsidP="008B53D0">
            <w:pPr>
              <w:shd w:val="clear" w:color="auto" w:fill="FFFFFF"/>
              <w:spacing w:line="240" w:lineRule="auto"/>
              <w:rPr>
                <w:rFonts w:eastAsia="Times New Roman" w:cs="Times New Roman"/>
                <w:color w:val="202122"/>
                <w:szCs w:val="24"/>
                <w:lang w:eastAsia="en-GB"/>
              </w:rPr>
            </w:pPr>
          </w:p>
          <w:p w14:paraId="52482B74" w14:textId="77777777" w:rsidR="007E34FC" w:rsidRDefault="007E34FC" w:rsidP="008B53D0">
            <w:pPr>
              <w:spacing w:line="240" w:lineRule="auto"/>
              <w:rPr>
                <w:b/>
                <w:bCs/>
                <w:u w:val="single"/>
              </w:rPr>
            </w:pPr>
            <w:r>
              <w:rPr>
                <w:b/>
                <w:bCs/>
                <w:u w:val="single"/>
              </w:rPr>
              <w:t>Article 18 – permitted restrictions</w:t>
            </w:r>
          </w:p>
          <w:p w14:paraId="35B7E6AB" w14:textId="77777777" w:rsidR="007E34FC" w:rsidRDefault="007E34FC" w:rsidP="008B53D0">
            <w:pPr>
              <w:spacing w:line="240" w:lineRule="auto"/>
            </w:pPr>
            <w:r>
              <w:t>Main article: Article 18 of the European Convention on Human Rights</w:t>
            </w:r>
          </w:p>
          <w:p w14:paraId="6B190CAE" w14:textId="77777777" w:rsidR="007E34FC" w:rsidRDefault="007E34FC" w:rsidP="008B53D0">
            <w:pPr>
              <w:spacing w:line="240" w:lineRule="auto"/>
            </w:pPr>
            <w:r>
              <w:t>Article 18 provides that any limitations on the rights provided for in the Convention may be used only for the purpose for which they are provided. For example, Article 5, which guarantees the right to personal freedom, may be explicitly limited in order to bring a suspect before a judge. To use pre-trial detention as a means of intimidation of a person under a false pretext is, therefore, a limitation of right (to freedom) which does not serve an explicitly provided purpose (to be brought before a judge), and is therefore contrary to Article 18.</w:t>
            </w:r>
          </w:p>
          <w:p w14:paraId="3B0851E4" w14:textId="77777777" w:rsidR="007E34FC" w:rsidRDefault="007E34FC" w:rsidP="008B53D0">
            <w:pPr>
              <w:spacing w:line="240" w:lineRule="auto"/>
              <w:rPr>
                <w:rFonts w:cs="Times New Roman"/>
                <w:szCs w:val="24"/>
              </w:rPr>
            </w:pPr>
          </w:p>
        </w:tc>
      </w:tr>
    </w:tbl>
    <w:p w14:paraId="23B227C5"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DE"/>
    <w:rsid w:val="001E1A1C"/>
    <w:rsid w:val="004633B0"/>
    <w:rsid w:val="007E34FC"/>
    <w:rsid w:val="008767DE"/>
    <w:rsid w:val="00B57ECD"/>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101F"/>
  <w15:chartTrackingRefBased/>
  <w15:docId w15:val="{D5A9F021-53CE-4D24-8B13-6DB3051E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FC"/>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4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2021-03-13T00:44:00Z</dcterms:created>
  <dcterms:modified xsi:type="dcterms:W3CDTF">2021-03-13T00:44:00Z</dcterms:modified>
</cp:coreProperties>
</file>