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EDFCF" w14:textId="77777777" w:rsidR="00544AA5" w:rsidRDefault="00544AA5" w:rsidP="00544AA5">
      <w:pPr>
        <w:spacing w:line="240" w:lineRule="auto"/>
        <w:rPr>
          <w:rFonts w:cs="Times New Roman"/>
          <w:szCs w:val="24"/>
        </w:rPr>
      </w:pPr>
    </w:p>
    <w:tbl>
      <w:tblPr>
        <w:tblStyle w:val="TableGrid"/>
        <w:tblW w:w="0" w:type="auto"/>
        <w:tblInd w:w="0" w:type="dxa"/>
        <w:tblLook w:val="04A0" w:firstRow="1" w:lastRow="0" w:firstColumn="1" w:lastColumn="0" w:noHBand="0" w:noVBand="1"/>
      </w:tblPr>
      <w:tblGrid>
        <w:gridCol w:w="9016"/>
      </w:tblGrid>
      <w:tr w:rsidR="00544AA5" w14:paraId="7851DAA9" w14:textId="77777777" w:rsidTr="008B53D0">
        <w:tc>
          <w:tcPr>
            <w:tcW w:w="12293" w:type="dxa"/>
            <w:tcBorders>
              <w:top w:val="single" w:sz="4" w:space="0" w:color="auto"/>
              <w:left w:val="single" w:sz="4" w:space="0" w:color="auto"/>
              <w:bottom w:val="single" w:sz="4" w:space="0" w:color="auto"/>
              <w:right w:val="single" w:sz="4" w:space="0" w:color="auto"/>
            </w:tcBorders>
          </w:tcPr>
          <w:p w14:paraId="69CCFBA9" w14:textId="77777777" w:rsidR="00544AA5" w:rsidRDefault="00544AA5" w:rsidP="008B53D0">
            <w:pPr>
              <w:spacing w:line="240" w:lineRule="auto"/>
              <w:rPr>
                <w:rFonts w:cs="Times New Roman"/>
                <w:szCs w:val="24"/>
              </w:rPr>
            </w:pPr>
            <w:r>
              <w:rPr>
                <w:rFonts w:eastAsia="Times New Roman" w:cs="Times New Roman"/>
                <w:b/>
                <w:bCs/>
                <w:color w:val="000000"/>
                <w:szCs w:val="24"/>
                <w:u w:val="single"/>
                <w:lang w:eastAsia="en-GB"/>
              </w:rPr>
              <w:t>European Convention on Human Rights</w:t>
            </w:r>
          </w:p>
          <w:p w14:paraId="77DF7F12" w14:textId="77777777" w:rsidR="00544AA5" w:rsidRDefault="00544AA5" w:rsidP="008B53D0">
            <w:pPr>
              <w:shd w:val="clear" w:color="auto" w:fill="FFFFFF"/>
              <w:spacing w:line="240" w:lineRule="auto"/>
              <w:rPr>
                <w:rFonts w:eastAsia="Times New Roman" w:cs="Times New Roman"/>
                <w:color w:val="000000"/>
                <w:szCs w:val="24"/>
                <w:lang w:eastAsia="en-GB"/>
              </w:rPr>
            </w:pPr>
            <w:r>
              <w:rPr>
                <w:rFonts w:eastAsia="Times New Roman" w:cs="Times New Roman"/>
                <w:b/>
                <w:bCs/>
                <w:color w:val="000000"/>
                <w:szCs w:val="24"/>
                <w:u w:val="single"/>
                <w:lang w:eastAsia="en-GB"/>
              </w:rPr>
              <w:t>ECHR</w:t>
            </w:r>
            <w:r>
              <w:rPr>
                <w:rFonts w:eastAsia="Times New Roman" w:cs="Times New Roman"/>
                <w:b/>
                <w:bCs/>
                <w:color w:val="000000"/>
                <w:szCs w:val="24"/>
                <w:lang w:eastAsia="en-GB"/>
              </w:rPr>
              <w:t xml:space="preserve"> - Article 2:</w:t>
            </w:r>
            <w:r>
              <w:rPr>
                <w:rFonts w:eastAsia="Times New Roman" w:cs="Times New Roman"/>
                <w:color w:val="000000"/>
                <w:szCs w:val="24"/>
                <w:lang w:eastAsia="en-GB"/>
              </w:rPr>
              <w:t xml:space="preserve"> Education</w:t>
            </w:r>
          </w:p>
          <w:p w14:paraId="541ADF55" w14:textId="77777777" w:rsidR="00544AA5" w:rsidRDefault="00544AA5" w:rsidP="008B53D0">
            <w:pPr>
              <w:shd w:val="clear" w:color="auto" w:fill="FFFFFF"/>
              <w:spacing w:line="240" w:lineRule="auto"/>
              <w:rPr>
                <w:rFonts w:eastAsia="Times New Roman" w:cs="Times New Roman"/>
                <w:color w:val="202122"/>
                <w:szCs w:val="24"/>
                <w:lang w:eastAsia="en-GB"/>
              </w:rPr>
            </w:pPr>
          </w:p>
          <w:p w14:paraId="25F69B38" w14:textId="77777777" w:rsidR="00544AA5" w:rsidRDefault="00544AA5" w:rsidP="008B53D0">
            <w:pPr>
              <w:spacing w:line="240" w:lineRule="auto"/>
              <w:rPr>
                <w:b/>
                <w:bCs/>
                <w:u w:val="single"/>
              </w:rPr>
            </w:pPr>
            <w:r>
              <w:rPr>
                <w:b/>
                <w:bCs/>
                <w:u w:val="single"/>
              </w:rPr>
              <w:t>Article 2 – education</w:t>
            </w:r>
          </w:p>
          <w:p w14:paraId="00AD76EF" w14:textId="77777777" w:rsidR="00544AA5" w:rsidRDefault="00544AA5" w:rsidP="008B53D0">
            <w:pPr>
              <w:spacing w:line="240" w:lineRule="auto"/>
            </w:pPr>
            <w:r>
              <w:t xml:space="preserve">Article 2 provides for the right not to be denied an education and the right for parents to have their children educated in accordance with their religious and other views. It does not however guarantee any particular level of education of any particular quality. </w:t>
            </w:r>
          </w:p>
          <w:p w14:paraId="19B85C29" w14:textId="77777777" w:rsidR="00544AA5" w:rsidRDefault="00544AA5" w:rsidP="008B53D0">
            <w:pPr>
              <w:spacing w:line="240" w:lineRule="auto"/>
            </w:pPr>
            <w:r>
              <w:t>Although phrased in the Protocol as a negative right, in </w:t>
            </w:r>
            <w:proofErr w:type="spellStart"/>
            <w:r>
              <w:rPr>
                <w:b/>
                <w:bCs/>
                <w:i/>
                <w:iCs/>
              </w:rPr>
              <w:fldChar w:fldCharType="begin"/>
            </w:r>
            <w:r>
              <w:rPr>
                <w:b/>
                <w:bCs/>
                <w:i/>
                <w:iCs/>
              </w:rPr>
              <w:instrText xml:space="preserve"> HYPERLINK "https://en.wikipedia.org/wiki/Leyla_%C5%9Eahin_v._Turkey" \o "Leyla Şahin v. Turkey" </w:instrText>
            </w:r>
            <w:r>
              <w:rPr>
                <w:b/>
                <w:bCs/>
                <w:i/>
                <w:iCs/>
              </w:rPr>
              <w:fldChar w:fldCharType="separate"/>
            </w:r>
            <w:r>
              <w:rPr>
                <w:rStyle w:val="Hyperlink"/>
                <w:b/>
                <w:bCs/>
                <w:i/>
                <w:iCs/>
              </w:rPr>
              <w:t>Şahin</w:t>
            </w:r>
            <w:proofErr w:type="spellEnd"/>
            <w:r>
              <w:rPr>
                <w:rStyle w:val="Hyperlink"/>
                <w:b/>
                <w:bCs/>
                <w:i/>
                <w:iCs/>
              </w:rPr>
              <w:t xml:space="preserve"> v. Turkey</w:t>
            </w:r>
            <w:r>
              <w:rPr>
                <w:b/>
                <w:bCs/>
                <w:i/>
                <w:iCs/>
              </w:rPr>
              <w:fldChar w:fldCharType="end"/>
            </w:r>
            <w:r>
              <w:t> the Court ruled that:</w:t>
            </w:r>
          </w:p>
          <w:p w14:paraId="50B44040" w14:textId="77777777" w:rsidR="00544AA5" w:rsidRDefault="00544AA5" w:rsidP="008B53D0">
            <w:pPr>
              <w:spacing w:line="240" w:lineRule="auto"/>
            </w:pPr>
            <w:r>
              <w:t>it would be hard to imagine that institutions of higher education existing at a given time do not come within the scope of the first sentence of Article 2 of Protocol No 1. Although that Article does not impose a duty on the Contracting States to set up institutions of higher education, any State doing so will be under an obligation to afford an effective right of access to them. In a democratic society, the right to education, which is indispensable to the furtherance of human rights, plays such a fundamental role that a restrictive interpretation of the first sentence of Article 2 of Protocol No. 1 would not be consistent with the aim or purpose of that provision.</w:t>
            </w:r>
          </w:p>
          <w:p w14:paraId="2E11B4CD" w14:textId="77777777" w:rsidR="00544AA5" w:rsidRDefault="00544AA5" w:rsidP="008B53D0">
            <w:pPr>
              <w:spacing w:line="240" w:lineRule="auto"/>
              <w:rPr>
                <w:rFonts w:cs="Times New Roman"/>
                <w:szCs w:val="24"/>
              </w:rPr>
            </w:pPr>
          </w:p>
        </w:tc>
      </w:tr>
    </w:tbl>
    <w:p w14:paraId="6E6859B5" w14:textId="77777777" w:rsidR="004633B0" w:rsidRDefault="004633B0"/>
    <w:sectPr w:rsidR="004633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54D"/>
    <w:rsid w:val="001E1A1C"/>
    <w:rsid w:val="004633B0"/>
    <w:rsid w:val="00544AA5"/>
    <w:rsid w:val="00B57ECD"/>
    <w:rsid w:val="00C04C38"/>
    <w:rsid w:val="00CA4B05"/>
    <w:rsid w:val="00FA7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F7B00"/>
  <w15:chartTrackingRefBased/>
  <w15:docId w15:val="{3D380CCA-CA0C-45C3-8DED-A8EFB5B48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AA5"/>
    <w:pPr>
      <w:spacing w:after="0" w:line="25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4AA5"/>
    <w:rPr>
      <w:color w:val="0000FF"/>
      <w:u w:val="single"/>
    </w:rPr>
  </w:style>
  <w:style w:type="table" w:styleId="TableGrid">
    <w:name w:val="Table Grid"/>
    <w:basedOn w:val="TableNormal"/>
    <w:uiPriority w:val="39"/>
    <w:rsid w:val="00544A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re_wired32@outlook.com</dc:creator>
  <cp:keywords/>
  <dc:description/>
  <cp:lastModifiedBy>re_wired32@outlook.com</cp:lastModifiedBy>
  <cp:revision>2</cp:revision>
  <dcterms:created xsi:type="dcterms:W3CDTF">2021-03-13T00:46:00Z</dcterms:created>
  <dcterms:modified xsi:type="dcterms:W3CDTF">2021-03-13T00:47:00Z</dcterms:modified>
</cp:coreProperties>
</file>