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7798" w14:textId="77777777" w:rsidR="00D56981" w:rsidRDefault="00D56981" w:rsidP="00D56981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56981" w14:paraId="0C5DB4D2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F40" w14:textId="77777777" w:rsidR="00D56981" w:rsidRDefault="00D56981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48C3733C" w14:textId="77777777" w:rsidR="00D56981" w:rsidRDefault="00D56981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7: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Retroactivity</w:t>
            </w:r>
          </w:p>
          <w:p w14:paraId="0D28AC5A" w14:textId="77777777" w:rsidR="00D56981" w:rsidRDefault="00D56981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6C68AD38" w14:textId="77777777" w:rsidR="00D56981" w:rsidRDefault="00D56981" w:rsidP="008B53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Article 7 – retroactivity</w:t>
            </w:r>
          </w:p>
          <w:p w14:paraId="06CA23D9" w14:textId="77777777" w:rsidR="00D56981" w:rsidRDefault="00D56981" w:rsidP="008B53D0">
            <w:pPr>
              <w:spacing w:line="240" w:lineRule="auto"/>
            </w:pPr>
            <w:r>
              <w:rPr>
                <w:b/>
                <w:bCs/>
              </w:rPr>
              <w:t>Main article:</w:t>
            </w:r>
            <w:r>
              <w:t> Article 7 of the European Convention on Human Rights</w:t>
            </w:r>
          </w:p>
          <w:p w14:paraId="13CE01E5" w14:textId="77777777" w:rsidR="00D56981" w:rsidRDefault="00D56981" w:rsidP="008B53D0">
            <w:pPr>
              <w:spacing w:line="240" w:lineRule="auto"/>
            </w:pPr>
            <w:r>
              <w:t>See also: </w:t>
            </w:r>
            <w:hyperlink r:id="rId5" w:tooltip="Ex post facto law" w:history="1">
              <w:r>
                <w:rPr>
                  <w:rStyle w:val="Hyperlink"/>
                </w:rPr>
                <w:t>Ex post facto law</w:t>
              </w:r>
            </w:hyperlink>
          </w:p>
          <w:p w14:paraId="612B5B4C" w14:textId="77777777" w:rsidR="00D56981" w:rsidRDefault="00D56981" w:rsidP="008B53D0">
            <w:pPr>
              <w:spacing w:line="240" w:lineRule="auto"/>
            </w:pPr>
            <w:r>
              <w:t>Article 7 prohibits the retroactive criminalisation of acts and omissions. No person may be punished for an act that was not a criminal offence at the time of its commission. The article states that a criminal offence is one under either national or international law, which would permit a party to prosecute someone for a crime which was not illegal under domestic law at the time, so long as it was prohibited by international law. The Article also prohibits a heavier penalty being imposed than was applicable at the time when the criminal act was committed.</w:t>
            </w:r>
          </w:p>
          <w:p w14:paraId="575A59C9" w14:textId="77777777" w:rsidR="00D56981" w:rsidRDefault="00D56981" w:rsidP="008B53D0">
            <w:pPr>
              <w:spacing w:line="240" w:lineRule="auto"/>
            </w:pPr>
            <w:r>
              <w:t>Article 7 incorporates the legal principle </w:t>
            </w:r>
            <w:proofErr w:type="spellStart"/>
            <w:r>
              <w:fldChar w:fldCharType="begin"/>
            </w:r>
            <w:r>
              <w:instrText xml:space="preserve"> HYPERLINK "https://en.wikipedia.org/wiki/Nullum_crimen,_nulla_poena_sine_lege" \o "Nullum crimen, nulla poena sine lege" </w:instrText>
            </w:r>
            <w:r>
              <w:fldChar w:fldCharType="separate"/>
            </w:r>
            <w:r>
              <w:rPr>
                <w:rStyle w:val="Hyperlink"/>
              </w:rPr>
              <w:t>nullum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crimen</w:t>
            </w:r>
            <w:proofErr w:type="spellEnd"/>
            <w:r>
              <w:rPr>
                <w:rStyle w:val="Hyperlink"/>
              </w:rPr>
              <w:t xml:space="preserve">, </w:t>
            </w:r>
            <w:proofErr w:type="spellStart"/>
            <w:r>
              <w:rPr>
                <w:rStyle w:val="Hyperlink"/>
              </w:rPr>
              <w:t>nulla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poena</w:t>
            </w:r>
            <w:proofErr w:type="spellEnd"/>
            <w:r>
              <w:rPr>
                <w:rStyle w:val="Hyperlink"/>
              </w:rPr>
              <w:t xml:space="preserve"> sine </w:t>
            </w:r>
            <w:proofErr w:type="spellStart"/>
            <w:r>
              <w:rPr>
                <w:rStyle w:val="Hyperlink"/>
              </w:rPr>
              <w:t>lege</w:t>
            </w:r>
            <w:proofErr w:type="spellEnd"/>
            <w:r>
              <w:fldChar w:fldCharType="end"/>
            </w:r>
            <w:r>
              <w:t> into the convention.</w:t>
            </w:r>
          </w:p>
          <w:p w14:paraId="4033526E" w14:textId="77777777" w:rsidR="00D56981" w:rsidRDefault="00D56981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202122"/>
                <w:szCs w:val="24"/>
                <w:lang w:eastAsia="en-GB"/>
              </w:rPr>
              <w:t>Relevant cases are:</w:t>
            </w:r>
          </w:p>
          <w:p w14:paraId="0BEE1AB5" w14:textId="77777777" w:rsidR="00D56981" w:rsidRDefault="00D56981" w:rsidP="00D5698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FF"/>
                <w:szCs w:val="24"/>
                <w:lang w:eastAsia="en-GB"/>
              </w:rPr>
            </w:pPr>
            <w:hyperlink r:id="rId6" w:tooltip="Kokkinakis v. Greece" w:history="1">
              <w:proofErr w:type="spellStart"/>
              <w:r>
                <w:rPr>
                  <w:rStyle w:val="Hyperlink"/>
                  <w:rFonts w:eastAsia="Times New Roman" w:cs="Times New Roman"/>
                  <w:b/>
                  <w:bCs/>
                  <w:i/>
                  <w:iCs/>
                  <w:szCs w:val="24"/>
                  <w:lang w:eastAsia="en-GB"/>
                </w:rPr>
                <w:t>Kokkinakis</w:t>
              </w:r>
              <w:proofErr w:type="spellEnd"/>
              <w:r>
                <w:rPr>
                  <w:rStyle w:val="Hyperlink"/>
                  <w:rFonts w:eastAsia="Times New Roman" w:cs="Times New Roman"/>
                  <w:b/>
                  <w:bCs/>
                  <w:i/>
                  <w:iCs/>
                  <w:szCs w:val="24"/>
                  <w:lang w:eastAsia="en-GB"/>
                </w:rPr>
                <w:t xml:space="preserve"> v. Greece</w:t>
              </w:r>
            </w:hyperlink>
            <w:r>
              <w:rPr>
                <w:rFonts w:eastAsia="Times New Roman" w:cs="Times New Roman"/>
                <w:b/>
                <w:bCs/>
                <w:i/>
                <w:iCs/>
                <w:color w:val="0000FF"/>
                <w:szCs w:val="24"/>
                <w:lang w:eastAsia="en-GB"/>
              </w:rPr>
              <w:t> [1993] ECHR 20</w:t>
            </w:r>
          </w:p>
          <w:p w14:paraId="488355F0" w14:textId="77777777" w:rsidR="00D56981" w:rsidRDefault="00D56981" w:rsidP="00D5698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FF"/>
                <w:szCs w:val="24"/>
                <w:lang w:eastAsia="en-GB"/>
              </w:rPr>
            </w:pPr>
            <w:hyperlink r:id="rId7" w:tooltip="S.A.S. v. France" w:history="1">
              <w:r>
                <w:rPr>
                  <w:rStyle w:val="Hyperlink"/>
                  <w:rFonts w:eastAsia="Times New Roman" w:cs="Times New Roman"/>
                  <w:b/>
                  <w:bCs/>
                  <w:i/>
                  <w:iCs/>
                  <w:szCs w:val="24"/>
                  <w:lang w:eastAsia="en-GB"/>
                </w:rPr>
                <w:t>S.A.S. v. France</w:t>
              </w:r>
            </w:hyperlink>
            <w:r>
              <w:rPr>
                <w:rFonts w:eastAsia="Times New Roman" w:cs="Times New Roman"/>
                <w:b/>
                <w:bCs/>
                <w:i/>
                <w:iCs/>
                <w:color w:val="0000FF"/>
                <w:szCs w:val="24"/>
                <w:lang w:eastAsia="en-GB"/>
              </w:rPr>
              <w:t> [2014] ECHR 69</w:t>
            </w:r>
          </w:p>
          <w:p w14:paraId="7184BD43" w14:textId="77777777" w:rsidR="00D56981" w:rsidRDefault="00D56981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16A3318E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A6527"/>
    <w:multiLevelType w:val="hybridMultilevel"/>
    <w:tmpl w:val="B90ED396"/>
    <w:lvl w:ilvl="0" w:tplc="BFE2C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F9"/>
    <w:rsid w:val="001E1A1C"/>
    <w:rsid w:val="004633B0"/>
    <w:rsid w:val="00B57ECD"/>
    <w:rsid w:val="00C04C38"/>
    <w:rsid w:val="00CA4B05"/>
    <w:rsid w:val="00D56981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E2A5"/>
  <w15:chartTrackingRefBased/>
  <w15:docId w15:val="{B35A2187-BFB3-4BD4-8A1A-511726BE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81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9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981"/>
    <w:pPr>
      <w:ind w:left="720"/>
      <w:contextualSpacing/>
    </w:pPr>
  </w:style>
  <w:style w:type="table" w:styleId="TableGrid">
    <w:name w:val="Table Grid"/>
    <w:basedOn w:val="TableNormal"/>
    <w:uiPriority w:val="39"/>
    <w:rsid w:val="00D56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.A.S._v._Fr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Kokkinakis_v._Greece" TargetMode="External"/><Relationship Id="rId5" Type="http://schemas.openxmlformats.org/officeDocument/2006/relationships/hyperlink" Target="https://en.wikipedia.org/wiki/Ex_post_facto_l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2021-03-13T00:39:00Z</dcterms:created>
  <dcterms:modified xsi:type="dcterms:W3CDTF">2021-03-13T00:39:00Z</dcterms:modified>
</cp:coreProperties>
</file>