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77794" w14:textId="77777777" w:rsidR="00792C3A" w:rsidRDefault="00792C3A" w:rsidP="00F70B93">
      <w:pPr>
        <w:spacing w:line="240" w:lineRule="auto"/>
      </w:pPr>
    </w:p>
    <w:tbl>
      <w:tblPr>
        <w:tblStyle w:val="TableGrid"/>
        <w:tblW w:w="0" w:type="auto"/>
        <w:jc w:val="center"/>
        <w:tblLook w:val="04A0" w:firstRow="1" w:lastRow="0" w:firstColumn="1" w:lastColumn="0" w:noHBand="0" w:noVBand="1"/>
      </w:tblPr>
      <w:tblGrid>
        <w:gridCol w:w="9016"/>
      </w:tblGrid>
      <w:tr w:rsidR="00792C3A" w14:paraId="552E02D2" w14:textId="77777777" w:rsidTr="00F70B93">
        <w:trPr>
          <w:jc w:val="center"/>
        </w:trPr>
        <w:tc>
          <w:tcPr>
            <w:tcW w:w="12293" w:type="dxa"/>
          </w:tcPr>
          <w:p w14:paraId="33109BF8" w14:textId="77777777" w:rsidR="00F70B93" w:rsidRPr="00B904EB" w:rsidRDefault="00F70B93" w:rsidP="00F70B93">
            <w:pPr>
              <w:jc w:val="center"/>
              <w:rPr>
                <w:rFonts w:eastAsia="Times New Roman" w:cs="Times New Roman"/>
                <w:szCs w:val="24"/>
                <w:u w:val="single"/>
                <w:lang w:eastAsia="en-GB"/>
              </w:rPr>
            </w:pPr>
            <w:r w:rsidRPr="00B904EB">
              <w:rPr>
                <w:rFonts w:eastAsia="Times New Roman" w:cs="Times New Roman"/>
                <w:b/>
                <w:bCs/>
                <w:szCs w:val="24"/>
                <w:u w:val="single"/>
                <w:lang w:eastAsia="en-GB"/>
              </w:rPr>
              <w:t>The Human Rights Act’s</w:t>
            </w:r>
          </w:p>
          <w:p w14:paraId="1F3C3590" w14:textId="77777777" w:rsidR="00F70B93" w:rsidRPr="00B904EB" w:rsidRDefault="00F70B93" w:rsidP="00F70B93">
            <w:pPr>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63DF9F31" w14:textId="77777777" w:rsidR="00F70B93" w:rsidRPr="00B904EB" w:rsidRDefault="00F70B93" w:rsidP="00F70B93">
            <w:pPr>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Pr>
                <w:rFonts w:eastAsia="Times New Roman" w:cs="Times New Roman"/>
                <w:b/>
                <w:bCs/>
                <w:szCs w:val="24"/>
                <w:u w:val="single"/>
                <w:lang w:eastAsia="en-GB"/>
              </w:rPr>
              <w:t>K</w:t>
            </w:r>
          </w:p>
          <w:p w14:paraId="14EAF864" w14:textId="77777777" w:rsidR="00F70B93" w:rsidRDefault="00F70B93" w:rsidP="00F70B93">
            <w:pPr>
              <w:rPr>
                <w:rFonts w:eastAsia="Times New Roman" w:cs="Times New Roman"/>
                <w:color w:val="FF0000"/>
                <w:szCs w:val="24"/>
                <w:lang w:eastAsia="en-GB"/>
              </w:rPr>
            </w:pPr>
          </w:p>
          <w:p w14:paraId="1547C2C9" w14:textId="77777777" w:rsidR="00F70B93" w:rsidRDefault="00F70B93" w:rsidP="00F70B93">
            <w:pPr>
              <w:rPr>
                <w:rFonts w:eastAsia="Times New Roman" w:cs="Times New Roman"/>
                <w:color w:val="FF0000"/>
                <w:szCs w:val="24"/>
                <w:lang w:eastAsia="en-GB"/>
              </w:rPr>
            </w:pPr>
          </w:p>
          <w:p w14:paraId="7D08642B" w14:textId="77777777" w:rsidR="00F70B93" w:rsidRPr="0018436B" w:rsidRDefault="00F70B93" w:rsidP="00F70B93">
            <w:pPr>
              <w:rPr>
                <w:rFonts w:eastAsia="Times New Roman" w:cs="Times New Roman"/>
                <w:b/>
                <w:bCs/>
                <w:szCs w:val="24"/>
                <w:u w:val="single"/>
                <w:lang w:eastAsia="en-GB"/>
              </w:rPr>
            </w:pPr>
            <w:r w:rsidRPr="0018436B">
              <w:rPr>
                <w:rFonts w:eastAsia="Times New Roman" w:cs="Times New Roman"/>
                <w:b/>
                <w:bCs/>
                <w:szCs w:val="24"/>
                <w:u w:val="single"/>
                <w:lang w:eastAsia="en-GB"/>
              </w:rPr>
              <w:t>Protocol 1, Article 1: </w:t>
            </w:r>
          </w:p>
          <w:p w14:paraId="45F7CCF1" w14:textId="77777777" w:rsidR="00F70B93" w:rsidRPr="00B904EB" w:rsidRDefault="00F70B93" w:rsidP="00F70B93">
            <w:pPr>
              <w:rPr>
                <w:rFonts w:eastAsia="Times New Roman" w:cs="Times New Roman"/>
                <w:szCs w:val="24"/>
                <w:lang w:eastAsia="en-GB"/>
              </w:rPr>
            </w:pPr>
            <w:r w:rsidRPr="00B904EB">
              <w:rPr>
                <w:rFonts w:eastAsia="Times New Roman" w:cs="Times New Roman"/>
                <w:szCs w:val="24"/>
                <w:lang w:eastAsia="en-GB"/>
              </w:rPr>
              <w:t>Right to peaceful enjoyment of your property</w:t>
            </w:r>
          </w:p>
          <w:p w14:paraId="4E7E1530" w14:textId="77777777" w:rsidR="00F70B93" w:rsidRPr="00B904EB" w:rsidRDefault="00F70B93" w:rsidP="00F70B93">
            <w:pPr>
              <w:rPr>
                <w:rFonts w:eastAsia="Times New Roman" w:cs="Times New Roman"/>
                <w:szCs w:val="24"/>
                <w:lang w:eastAsia="en-GB"/>
              </w:rPr>
            </w:pPr>
            <w:r w:rsidRPr="00B904EB">
              <w:rPr>
                <w:rFonts w:eastAsia="Times New Roman" w:cs="Times New Roman"/>
                <w:szCs w:val="24"/>
                <w:lang w:eastAsia="en-GB"/>
              </w:rPr>
              <w:t>Demeanour</w:t>
            </w:r>
          </w:p>
          <w:p w14:paraId="55FFB1E5" w14:textId="77777777" w:rsidR="00F70B93" w:rsidRPr="00B904EB" w:rsidRDefault="00F70B93" w:rsidP="00F70B93">
            <w:pPr>
              <w:rPr>
                <w:rFonts w:eastAsia="Times New Roman" w:cs="Times New Roman"/>
                <w:szCs w:val="24"/>
                <w:lang w:eastAsia="en-GB"/>
              </w:rPr>
            </w:pPr>
            <w:r w:rsidRPr="00B904EB">
              <w:rPr>
                <w:rFonts w:eastAsia="Times New Roman" w:cs="Times New Roman"/>
                <w:szCs w:val="24"/>
                <w:lang w:eastAsia="en-GB"/>
              </w:rPr>
              <w:t xml:space="preserve">Property can include things like land, houses, objects you own, shares, licences, leases, patents, money, </w:t>
            </w:r>
            <w:proofErr w:type="gramStart"/>
            <w:r w:rsidRPr="00B904EB">
              <w:rPr>
                <w:rFonts w:eastAsia="Times New Roman" w:cs="Times New Roman"/>
                <w:szCs w:val="24"/>
                <w:lang w:eastAsia="en-GB"/>
              </w:rPr>
              <w:t>pensions</w:t>
            </w:r>
            <w:proofErr w:type="gramEnd"/>
            <w:r w:rsidRPr="00B904EB">
              <w:rPr>
                <w:rFonts w:eastAsia="Times New Roman" w:cs="Times New Roman"/>
                <w:szCs w:val="24"/>
                <w:lang w:eastAsia="en-GB"/>
              </w:rPr>
              <w:t xml:space="preserve"> and certain types of welfare benefits. A public authority cannot take away your property, or place restrictions on its use, without very good reason.</w:t>
            </w:r>
          </w:p>
          <w:p w14:paraId="4D5887C4" w14:textId="77777777" w:rsidR="00F70B93" w:rsidRPr="00B904EB" w:rsidRDefault="00F70B93" w:rsidP="00F70B93">
            <w:pPr>
              <w:rPr>
                <w:rFonts w:eastAsia="Times New Roman" w:cs="Times New Roman"/>
                <w:szCs w:val="24"/>
                <w:lang w:eastAsia="en-GB"/>
              </w:rPr>
            </w:pPr>
            <w:r w:rsidRPr="00B904EB">
              <w:rPr>
                <w:rFonts w:eastAsia="Times New Roman" w:cs="Times New Roman"/>
                <w:szCs w:val="24"/>
                <w:lang w:eastAsia="en-GB"/>
              </w:rPr>
              <w:t>This right applies to companies as well as individuals.</w:t>
            </w:r>
          </w:p>
          <w:p w14:paraId="585D416B" w14:textId="77777777" w:rsidR="00F70B93" w:rsidRPr="00B904EB" w:rsidRDefault="00F70B93" w:rsidP="00F70B93">
            <w:pPr>
              <w:rPr>
                <w:rFonts w:eastAsia="Times New Roman" w:cs="Times New Roman"/>
                <w:szCs w:val="24"/>
                <w:lang w:eastAsia="en-GB"/>
              </w:rPr>
            </w:pPr>
            <w:r w:rsidRPr="00B904EB">
              <w:rPr>
                <w:rFonts w:eastAsia="Times New Roman" w:cs="Times New Roman"/>
                <w:b/>
                <w:bCs/>
                <w:szCs w:val="24"/>
                <w:lang w:eastAsia="en-GB"/>
              </w:rPr>
              <w:t>Are there any restrictions to this right?</w:t>
            </w:r>
          </w:p>
          <w:p w14:paraId="0CA39033" w14:textId="77777777" w:rsidR="00F70B93" w:rsidRPr="00B904EB" w:rsidRDefault="00F70B93" w:rsidP="00F70B93">
            <w:pPr>
              <w:rPr>
                <w:rFonts w:eastAsia="Times New Roman" w:cs="Times New Roman"/>
                <w:szCs w:val="24"/>
                <w:lang w:eastAsia="en-GB"/>
              </w:rPr>
            </w:pPr>
            <w:r w:rsidRPr="00B904EB">
              <w:rPr>
                <w:rFonts w:eastAsia="Times New Roman" w:cs="Times New Roman"/>
                <w:szCs w:val="24"/>
                <w:lang w:eastAsia="en-GB"/>
              </w:rPr>
              <w:t>There are some situations in which public authorities can take things you own or restrict the way you use them. This is only possible where the authority can show that its action is lawful and necessary for the public interest. If your property is taken away, you should be entitled to compensation.                      </w:t>
            </w:r>
          </w:p>
          <w:p w14:paraId="79DF9E56" w14:textId="77777777" w:rsidR="00F70B93" w:rsidRPr="00B904EB" w:rsidRDefault="00F70B93" w:rsidP="00F70B93">
            <w:pPr>
              <w:rPr>
                <w:rFonts w:eastAsia="Times New Roman" w:cs="Times New Roman"/>
                <w:szCs w:val="24"/>
                <w:lang w:eastAsia="en-GB"/>
              </w:rPr>
            </w:pPr>
            <w:r w:rsidRPr="00B904EB">
              <w:rPr>
                <w:rFonts w:eastAsia="Times New Roman" w:cs="Times New Roman"/>
                <w:szCs w:val="24"/>
                <w:lang w:eastAsia="en-GB"/>
              </w:rPr>
              <w:t>The government must strike a fair balance between your interests as a property owner and the general interests of society as a whole.</w:t>
            </w:r>
          </w:p>
          <w:p w14:paraId="12CA30B9" w14:textId="77777777" w:rsidR="00F70B93" w:rsidRPr="00B904EB" w:rsidRDefault="00F70B93" w:rsidP="00F70B93">
            <w:pPr>
              <w:rPr>
                <w:rFonts w:eastAsia="Times New Roman" w:cs="Times New Roman"/>
                <w:szCs w:val="24"/>
                <w:lang w:eastAsia="en-GB"/>
              </w:rPr>
            </w:pPr>
            <w:r w:rsidRPr="00B904EB">
              <w:rPr>
                <w:rFonts w:eastAsia="Times New Roman" w:cs="Times New Roman"/>
                <w:szCs w:val="24"/>
                <w:lang w:eastAsia="en-GB"/>
              </w:rPr>
              <w:t>This right does not affect the ability of public authorities to enforce taxes or fines.</w:t>
            </w:r>
          </w:p>
          <w:p w14:paraId="71BBD6D6" w14:textId="77777777" w:rsidR="00F70B93" w:rsidRPr="00B904EB" w:rsidRDefault="00F70B93" w:rsidP="00F70B93">
            <w:pPr>
              <w:rPr>
                <w:rFonts w:eastAsia="Times New Roman" w:cs="Times New Roman"/>
                <w:szCs w:val="24"/>
                <w:lang w:eastAsia="en-GB"/>
              </w:rPr>
            </w:pPr>
            <w:r w:rsidRPr="00B904EB">
              <w:rPr>
                <w:rFonts w:eastAsia="Times New Roman" w:cs="Times New Roman"/>
                <w:szCs w:val="24"/>
                <w:lang w:eastAsia="en-GB"/>
              </w:rPr>
              <w:t>Using this right – example</w:t>
            </w:r>
          </w:p>
          <w:p w14:paraId="4E2DC155" w14:textId="77777777" w:rsidR="00F70B93" w:rsidRPr="00B904EB" w:rsidRDefault="00F70B93" w:rsidP="00F70B93">
            <w:pPr>
              <w:rPr>
                <w:rFonts w:eastAsia="Times New Roman" w:cs="Times New Roman"/>
                <w:szCs w:val="24"/>
                <w:lang w:eastAsia="en-GB"/>
              </w:rPr>
            </w:pPr>
            <w:r w:rsidRPr="00B904EB">
              <w:rPr>
                <w:rFonts w:eastAsia="Times New Roman" w:cs="Times New Roman"/>
                <w:szCs w:val="24"/>
                <w:lang w:eastAsia="en-GB"/>
              </w:rPr>
              <w:t>If a public authority plans to build a road over someone’s land, it must have laws in place to support this. There must also be a process in place to check that a fair balance has been struck between the public interest in building the road and the individual’s right to their land.</w:t>
            </w:r>
          </w:p>
          <w:p w14:paraId="4C5EC1CE" w14:textId="77777777" w:rsidR="00F70B93" w:rsidRPr="00B904EB" w:rsidRDefault="00F70B93" w:rsidP="00F70B93">
            <w:pPr>
              <w:rPr>
                <w:rFonts w:eastAsia="Times New Roman" w:cs="Times New Roman"/>
                <w:szCs w:val="24"/>
                <w:lang w:eastAsia="en-GB"/>
              </w:rPr>
            </w:pPr>
            <w:r w:rsidRPr="00B904EB">
              <w:rPr>
                <w:rFonts w:eastAsia="Times New Roman" w:cs="Times New Roman"/>
                <w:szCs w:val="24"/>
                <w:lang w:eastAsia="en-GB"/>
              </w:rPr>
              <w:t>(Example taken from ‘Human rights, human lives: a guide to the Human Rights Act for public authorities.)</w:t>
            </w:r>
          </w:p>
          <w:p w14:paraId="6A3DD333" w14:textId="77777777" w:rsidR="00F70B93" w:rsidRPr="00B904EB" w:rsidRDefault="00F70B93" w:rsidP="00F70B93">
            <w:pPr>
              <w:rPr>
                <w:rFonts w:eastAsia="Times New Roman" w:cs="Times New Roman"/>
                <w:szCs w:val="24"/>
                <w:lang w:eastAsia="en-GB"/>
              </w:rPr>
            </w:pPr>
            <w:r w:rsidRPr="00B904EB">
              <w:rPr>
                <w:rFonts w:eastAsia="Times New Roman" w:cs="Times New Roman"/>
                <w:b/>
                <w:bCs/>
                <w:szCs w:val="24"/>
                <w:lang w:eastAsia="en-GB"/>
              </w:rPr>
              <w:t xml:space="preserve">What the law </w:t>
            </w:r>
            <w:proofErr w:type="gramStart"/>
            <w:r w:rsidRPr="00B904EB">
              <w:rPr>
                <w:rFonts w:eastAsia="Times New Roman" w:cs="Times New Roman"/>
                <w:b/>
                <w:bCs/>
                <w:szCs w:val="24"/>
                <w:lang w:eastAsia="en-GB"/>
              </w:rPr>
              <w:t>says;</w:t>
            </w:r>
            <w:proofErr w:type="gramEnd"/>
          </w:p>
          <w:p w14:paraId="60DC43C9" w14:textId="77777777" w:rsidR="00F70B93" w:rsidRPr="00B904EB" w:rsidRDefault="00F70B93" w:rsidP="00F70B93">
            <w:pPr>
              <w:rPr>
                <w:rFonts w:eastAsia="Times New Roman" w:cs="Times New Roman"/>
                <w:szCs w:val="24"/>
                <w:lang w:eastAsia="en-GB"/>
              </w:rPr>
            </w:pPr>
            <w:r w:rsidRPr="00B904EB">
              <w:rPr>
                <w:rFonts w:eastAsia="Times New Roman" w:cs="Times New Roman"/>
                <w:szCs w:val="24"/>
                <w:lang w:eastAsia="en-GB"/>
              </w:rPr>
              <w:t>Protocol 1, Article 1: Protection of property</w:t>
            </w:r>
          </w:p>
          <w:p w14:paraId="7D216450" w14:textId="77777777" w:rsidR="00F70B93" w:rsidRPr="00B904EB" w:rsidRDefault="00F70B93" w:rsidP="00F70B93">
            <w:pPr>
              <w:rPr>
                <w:rFonts w:eastAsia="Times New Roman" w:cs="Times New Roman"/>
                <w:szCs w:val="24"/>
                <w:lang w:eastAsia="en-GB"/>
              </w:rPr>
            </w:pPr>
            <w:r w:rsidRPr="00B904EB">
              <w:rPr>
                <w:rFonts w:eastAsia="Times New Roman" w:cs="Times New Roman"/>
                <w:szCs w:val="24"/>
                <w:lang w:eastAsia="en-GB"/>
              </w:rPr>
              <w:t>Every natural or legal person is entitled to the peaceful enjoyment of his possessions. No one shall be deprived of his possessions except in the public interest and subject to the conditions provided for by law and by the general principles of international law.</w:t>
            </w:r>
          </w:p>
          <w:p w14:paraId="0512394B" w14:textId="77777777" w:rsidR="00F70B93" w:rsidRPr="00B904EB" w:rsidRDefault="00F70B93" w:rsidP="00F70B93">
            <w:pPr>
              <w:rPr>
                <w:rFonts w:eastAsia="Times New Roman" w:cs="Times New Roman"/>
                <w:szCs w:val="24"/>
                <w:lang w:eastAsia="en-GB"/>
              </w:rPr>
            </w:pPr>
            <w:r w:rsidRPr="00B904EB">
              <w:rPr>
                <w:rFonts w:eastAsia="Times New Roman" w:cs="Times New Roman"/>
                <w:szCs w:val="24"/>
                <w:lang w:eastAsia="en-GB"/>
              </w:rPr>
              <w:t>The preceding provisions shall not, however, in any way impair the right of the State to enforce such laws as it deems necessary to control the use of property in accordance with the general interest or to secure payment of taxes or other contributions or penalties.</w:t>
            </w:r>
          </w:p>
          <w:p w14:paraId="272C98D6" w14:textId="77777777" w:rsidR="00F70B93" w:rsidRPr="00B904EB" w:rsidRDefault="00F70B93" w:rsidP="00F70B93">
            <w:pPr>
              <w:rPr>
                <w:rFonts w:eastAsia="Times New Roman" w:cs="Times New Roman"/>
                <w:szCs w:val="24"/>
                <w:lang w:eastAsia="en-GB"/>
              </w:rPr>
            </w:pPr>
            <w:r w:rsidRPr="00B904EB">
              <w:rPr>
                <w:rFonts w:eastAsia="Times New Roman" w:cs="Times New Roman"/>
                <w:szCs w:val="24"/>
                <w:lang w:eastAsia="en-GB"/>
              </w:rPr>
              <w:t>Example case - Howard v United Kingdom [1987]</w:t>
            </w:r>
          </w:p>
          <w:p w14:paraId="74F0121F" w14:textId="77777777" w:rsidR="00F70B93" w:rsidRPr="00B904EB" w:rsidRDefault="00F70B93" w:rsidP="00F70B93">
            <w:pPr>
              <w:rPr>
                <w:rFonts w:eastAsia="Times New Roman" w:cs="Times New Roman"/>
                <w:szCs w:val="24"/>
                <w:lang w:eastAsia="en-GB"/>
              </w:rPr>
            </w:pPr>
            <w:r w:rsidRPr="00B904EB">
              <w:rPr>
                <w:rFonts w:eastAsia="Times New Roman" w:cs="Times New Roman"/>
                <w:szCs w:val="24"/>
                <w:lang w:eastAsia="en-GB"/>
              </w:rPr>
              <w:t>A public authority wanted to use a compulsory purchase order to acquire a property for development. The European Court of Human Rights held that the question was whether the authority had struck a fair balance between the rights of the individual property owners and the rights of the community. One of the main factors in any such balance will be the availability of compensation reflecting the value of the property acquired by the authority.</w:t>
            </w:r>
          </w:p>
          <w:p w14:paraId="38F41AEF" w14:textId="77777777" w:rsidR="00F70B93" w:rsidRPr="00B904EB" w:rsidRDefault="00F70B93" w:rsidP="00F70B93">
            <w:pPr>
              <w:rPr>
                <w:rFonts w:eastAsia="Times New Roman" w:cs="Times New Roman"/>
                <w:szCs w:val="24"/>
                <w:lang w:eastAsia="en-GB"/>
              </w:rPr>
            </w:pPr>
            <w:r w:rsidRPr="00B904EB">
              <w:rPr>
                <w:rFonts w:eastAsia="Times New Roman" w:cs="Times New Roman"/>
                <w:szCs w:val="24"/>
                <w:lang w:eastAsia="en-GB"/>
              </w:rPr>
              <w:t>(Case summary provided by the British Institute of Human Rights)</w:t>
            </w:r>
          </w:p>
          <w:p w14:paraId="07BA1D6B" w14:textId="77777777" w:rsidR="00F70B93" w:rsidRPr="00B904EB" w:rsidRDefault="00F70B93" w:rsidP="00F70B93">
            <w:pPr>
              <w:rPr>
                <w:rFonts w:eastAsia="Times New Roman" w:cs="Times New Roman"/>
                <w:szCs w:val="24"/>
                <w:lang w:eastAsia="en-GB"/>
              </w:rPr>
            </w:pPr>
            <w:r w:rsidRPr="00B904EB">
              <w:rPr>
                <w:rFonts w:eastAsia="Times New Roman" w:cs="Times New Roman"/>
                <w:szCs w:val="24"/>
                <w:lang w:eastAsia="en-GB"/>
              </w:rPr>
              <w:t>See the publication ‘Human rights, human lives: a guide to the Human Rights Act for public authorities’ for more examples and legal case studies that show how human rights work in practice.</w:t>
            </w:r>
          </w:p>
          <w:p w14:paraId="24D331E6" w14:textId="2CD2EE66" w:rsidR="00792C3A" w:rsidRDefault="00792C3A" w:rsidP="00F70B93"/>
        </w:tc>
      </w:tr>
    </w:tbl>
    <w:p w14:paraId="07704B97" w14:textId="77777777" w:rsidR="004633B0" w:rsidRDefault="004633B0" w:rsidP="00F70B93">
      <w:pPr>
        <w:spacing w:line="240" w:lineRule="auto"/>
      </w:pPr>
    </w:p>
    <w:sectPr w:rsidR="00463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3A"/>
    <w:rsid w:val="001E1A1C"/>
    <w:rsid w:val="004633B0"/>
    <w:rsid w:val="00792C3A"/>
    <w:rsid w:val="00B57ECD"/>
    <w:rsid w:val="00C04C38"/>
    <w:rsid w:val="00CA4B05"/>
    <w:rsid w:val="00F70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2C70"/>
  <w15:chartTrackingRefBased/>
  <w15:docId w15:val="{6FC404FB-163A-4E82-922C-10294F59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B93"/>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2</cp:revision>
  <dcterms:created xsi:type="dcterms:W3CDTF">2021-03-12T19:49:00Z</dcterms:created>
  <dcterms:modified xsi:type="dcterms:W3CDTF">2021-03-12T19:53:00Z</dcterms:modified>
</cp:coreProperties>
</file>